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85" w:rsidRPr="00E71B6D" w:rsidRDefault="00BB01E9" w:rsidP="00AE721C">
      <w:pPr>
        <w:spacing w:after="120" w:line="360" w:lineRule="auto"/>
        <w:contextualSpacing/>
        <w:rPr>
          <w:rFonts w:ascii="Times New Roman" w:hAnsi="Times New Roman"/>
          <w:color w:val="6AA03A"/>
          <w:sz w:val="16"/>
          <w:szCs w:val="16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9.55pt;margin-top:-43.55pt;width:241.1pt;height:44.8pt;z-index:251658240;mso-width-relative:margin;mso-height-relative:margin" filled="f" stroked="f">
            <v:textbox style="mso-next-textbox:#_x0000_s1033" inset="0,0,0,0">
              <w:txbxContent>
                <w:p w:rsidR="00432D77" w:rsidRPr="00E71B6D" w:rsidRDefault="00432D77">
                  <w:pPr>
                    <w:rPr>
                      <w:rFonts w:ascii="Times New Roman" w:hAnsi="Times New Roman"/>
                      <w:b/>
                      <w:color w:val="6AA03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073BC">
        <w:rPr>
          <w:noProof/>
          <w:color w:val="6AA03A"/>
          <w:lang w:eastAsia="de-DE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-369570</wp:posOffset>
            </wp:positionH>
            <wp:positionV relativeFrom="page">
              <wp:posOffset>215900</wp:posOffset>
            </wp:positionV>
            <wp:extent cx="6689090" cy="1483360"/>
            <wp:effectExtent l="19050" t="0" r="0" b="0"/>
            <wp:wrapNone/>
            <wp:docPr id="8" name="Bild 8" descr="VJT Brfbg Dehnhar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JT Brfbg Dehnhar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C2F" w:rsidRPr="00244C2F" w:rsidRDefault="00244C2F" w:rsidP="00244C2F">
      <w:pPr>
        <w:pStyle w:val="KeinLeerraum"/>
        <w:rPr>
          <w:lang w:eastAsia="de-DE"/>
        </w:rPr>
      </w:pPr>
    </w:p>
    <w:p w:rsidR="00244C2F" w:rsidRPr="00244C2F" w:rsidRDefault="00244C2F" w:rsidP="00244C2F">
      <w:pPr>
        <w:pStyle w:val="KeinLeerraum"/>
        <w:jc w:val="center"/>
        <w:rPr>
          <w:b/>
          <w:color w:val="4F6228" w:themeColor="accent3" w:themeShade="80"/>
          <w:sz w:val="24"/>
          <w:szCs w:val="24"/>
          <w:lang w:eastAsia="de-DE"/>
        </w:rPr>
      </w:pPr>
      <w:r w:rsidRPr="00244C2F">
        <w:rPr>
          <w:b/>
          <w:color w:val="4F6228" w:themeColor="accent3" w:themeShade="80"/>
          <w:sz w:val="24"/>
          <w:szCs w:val="24"/>
          <w:lang w:eastAsia="de-DE"/>
        </w:rPr>
        <w:t>Hinweise zur Abfassung eines Richteranwärterbericht</w:t>
      </w:r>
      <w:r w:rsidR="00D83F21">
        <w:rPr>
          <w:b/>
          <w:color w:val="4F6228" w:themeColor="accent3" w:themeShade="80"/>
          <w:sz w:val="24"/>
          <w:szCs w:val="24"/>
          <w:lang w:eastAsia="de-DE"/>
        </w:rPr>
        <w:t>e</w:t>
      </w:r>
      <w:r w:rsidR="007D227D">
        <w:rPr>
          <w:b/>
          <w:color w:val="4F6228" w:themeColor="accent3" w:themeShade="80"/>
          <w:sz w:val="24"/>
          <w:szCs w:val="24"/>
          <w:lang w:eastAsia="de-DE"/>
        </w:rPr>
        <w:t>s für eine Eignungs</w:t>
      </w:r>
      <w:r w:rsidRPr="00244C2F">
        <w:rPr>
          <w:b/>
          <w:color w:val="4F6228" w:themeColor="accent3" w:themeShade="80"/>
          <w:sz w:val="24"/>
          <w:szCs w:val="24"/>
          <w:lang w:eastAsia="de-DE"/>
        </w:rPr>
        <w:t>prüfung</w:t>
      </w:r>
    </w:p>
    <w:p w:rsidR="00244C2F" w:rsidRDefault="00244C2F" w:rsidP="00244C2F">
      <w:pPr>
        <w:pStyle w:val="KeinLeerraum"/>
        <w:jc w:val="both"/>
        <w:rPr>
          <w:lang w:eastAsia="de-DE"/>
        </w:rPr>
      </w:pPr>
    </w:p>
    <w:p w:rsidR="00432D77" w:rsidRPr="00244C2F" w:rsidRDefault="00432D77" w:rsidP="00432D77">
      <w:pPr>
        <w:pStyle w:val="KeinLeerraum"/>
        <w:jc w:val="both"/>
        <w:rPr>
          <w:rFonts w:asciiTheme="minorHAnsi" w:hAnsiTheme="minorHAnsi" w:cstheme="minorHAnsi"/>
          <w:lang w:eastAsia="de-DE"/>
        </w:rPr>
      </w:pPr>
      <w:r w:rsidRPr="00244C2F">
        <w:rPr>
          <w:rFonts w:asciiTheme="minorHAnsi" w:hAnsiTheme="minorHAnsi" w:cstheme="minorHAnsi"/>
          <w:lang w:eastAsia="de-DE"/>
        </w:rPr>
        <w:t>Die vorstehende Empfehlung für die Abfassung eines Richteranwärterberichtes ist keine vom</w:t>
      </w:r>
      <w:r>
        <w:rPr>
          <w:rFonts w:asciiTheme="minorHAnsi" w:hAnsiTheme="minorHAnsi" w:cstheme="minorHAnsi"/>
          <w:lang w:eastAsia="de-DE"/>
        </w:rPr>
        <w:t xml:space="preserve"> </w:t>
      </w:r>
      <w:r w:rsidRPr="00244C2F">
        <w:rPr>
          <w:rFonts w:asciiTheme="minorHAnsi" w:hAnsiTheme="minorHAnsi" w:cstheme="minorHAnsi"/>
          <w:lang w:eastAsia="de-DE"/>
        </w:rPr>
        <w:t>JGHV vorgeschriebene Form, sondern ein Vorschlag und der Versuch</w:t>
      </w:r>
      <w:r w:rsidR="00121843">
        <w:rPr>
          <w:rFonts w:asciiTheme="minorHAnsi" w:hAnsiTheme="minorHAnsi" w:cstheme="minorHAnsi"/>
          <w:lang w:eastAsia="de-DE"/>
        </w:rPr>
        <w:t>,</w:t>
      </w:r>
      <w:r w:rsidRPr="00244C2F">
        <w:rPr>
          <w:rFonts w:asciiTheme="minorHAnsi" w:hAnsiTheme="minorHAnsi" w:cstheme="minorHAnsi"/>
          <w:lang w:eastAsia="de-DE"/>
        </w:rPr>
        <w:t xml:space="preserve"> den Blick auf die wesentlichen</w:t>
      </w:r>
      <w:r>
        <w:rPr>
          <w:rFonts w:asciiTheme="minorHAnsi" w:hAnsiTheme="minorHAnsi" w:cstheme="minorHAnsi"/>
          <w:lang w:eastAsia="de-DE"/>
        </w:rPr>
        <w:t xml:space="preserve"> </w:t>
      </w:r>
      <w:r w:rsidRPr="00244C2F">
        <w:rPr>
          <w:rFonts w:asciiTheme="minorHAnsi" w:hAnsiTheme="minorHAnsi" w:cstheme="minorHAnsi"/>
          <w:lang w:eastAsia="de-DE"/>
        </w:rPr>
        <w:t xml:space="preserve">Dinge zu lenken, die bei der Beurteilung </w:t>
      </w:r>
      <w:r w:rsidR="00121843">
        <w:rPr>
          <w:rFonts w:asciiTheme="minorHAnsi" w:hAnsiTheme="minorHAnsi" w:cstheme="minorHAnsi"/>
          <w:lang w:eastAsia="de-DE"/>
        </w:rPr>
        <w:t>eines Hundes auf einer P</w:t>
      </w:r>
      <w:r w:rsidRPr="00244C2F">
        <w:rPr>
          <w:rFonts w:asciiTheme="minorHAnsi" w:hAnsiTheme="minorHAnsi" w:cstheme="minorHAnsi"/>
          <w:lang w:eastAsia="de-DE"/>
        </w:rPr>
        <w:t>rüfung</w:t>
      </w:r>
      <w:r>
        <w:rPr>
          <w:rFonts w:asciiTheme="minorHAnsi" w:hAnsiTheme="minorHAnsi" w:cstheme="minorHAnsi"/>
          <w:lang w:eastAsia="de-DE"/>
        </w:rPr>
        <w:t xml:space="preserve"> </w:t>
      </w:r>
      <w:r w:rsidRPr="00244C2F">
        <w:rPr>
          <w:rFonts w:asciiTheme="minorHAnsi" w:hAnsiTheme="minorHAnsi" w:cstheme="minorHAnsi"/>
          <w:lang w:eastAsia="de-DE"/>
        </w:rPr>
        <w:t>wichtig sind. Der Vorschlag erhebt keine</w:t>
      </w:r>
      <w:r w:rsidR="00121843">
        <w:rPr>
          <w:rFonts w:asciiTheme="minorHAnsi" w:hAnsiTheme="minorHAnsi" w:cstheme="minorHAnsi"/>
          <w:lang w:eastAsia="de-DE"/>
        </w:rPr>
        <w:t>n Anspruch auf Vollständigkeit.</w:t>
      </w:r>
    </w:p>
    <w:p w:rsidR="00432D77" w:rsidRDefault="00432D77" w:rsidP="00244C2F">
      <w:pPr>
        <w:pStyle w:val="KeinLeerraum"/>
        <w:jc w:val="both"/>
        <w:rPr>
          <w:lang w:eastAsia="de-DE"/>
        </w:rPr>
      </w:pPr>
    </w:p>
    <w:p w:rsidR="00432D77" w:rsidRDefault="00432D77" w:rsidP="00244C2F">
      <w:pPr>
        <w:pStyle w:val="KeinLeerraum"/>
        <w:jc w:val="both"/>
        <w:rPr>
          <w:lang w:eastAsia="de-DE"/>
        </w:rPr>
      </w:pPr>
    </w:p>
    <w:p w:rsidR="00432D77" w:rsidRDefault="00432D77" w:rsidP="00244C2F">
      <w:pPr>
        <w:pStyle w:val="KeinLeerraum"/>
        <w:jc w:val="both"/>
        <w:rPr>
          <w:lang w:eastAsia="de-DE"/>
        </w:rPr>
      </w:pPr>
    </w:p>
    <w:p w:rsidR="00432D77" w:rsidRDefault="00432D77" w:rsidP="00244C2F">
      <w:pPr>
        <w:pStyle w:val="KeinLeerraum"/>
        <w:jc w:val="both"/>
        <w:rPr>
          <w:lang w:eastAsia="de-DE"/>
        </w:rPr>
      </w:pPr>
    </w:p>
    <w:p w:rsidR="00432D77" w:rsidRDefault="00432D77">
      <w:pPr>
        <w:spacing w:after="0" w:line="240" w:lineRule="auto"/>
        <w:rPr>
          <w:lang w:eastAsia="de-DE"/>
        </w:rPr>
      </w:pPr>
      <w:r>
        <w:rPr>
          <w:lang w:eastAsia="de-DE"/>
        </w:rPr>
        <w:br w:type="page"/>
      </w:r>
    </w:p>
    <w:p w:rsidR="00432D77" w:rsidRPr="00432D77" w:rsidRDefault="00432D77" w:rsidP="00432D77">
      <w:pPr>
        <w:pStyle w:val="KeinLeerraum"/>
        <w:jc w:val="center"/>
        <w:rPr>
          <w:b/>
          <w:color w:val="76923C" w:themeColor="accent3" w:themeShade="BF"/>
          <w:sz w:val="24"/>
          <w:szCs w:val="24"/>
          <w:lang w:eastAsia="de-DE"/>
        </w:rPr>
      </w:pPr>
      <w:r w:rsidRPr="00432D77">
        <w:rPr>
          <w:b/>
          <w:color w:val="76923C" w:themeColor="accent3" w:themeShade="BF"/>
          <w:sz w:val="24"/>
          <w:szCs w:val="24"/>
          <w:lang w:eastAsia="de-DE"/>
        </w:rPr>
        <w:t>Richter</w:t>
      </w:r>
      <w:r w:rsidR="007D227D">
        <w:rPr>
          <w:b/>
          <w:color w:val="76923C" w:themeColor="accent3" w:themeShade="BF"/>
          <w:sz w:val="24"/>
          <w:szCs w:val="24"/>
          <w:lang w:eastAsia="de-DE"/>
        </w:rPr>
        <w:t>anwärterbericht über die Eignungs</w:t>
      </w:r>
      <w:r w:rsidRPr="00432D77">
        <w:rPr>
          <w:b/>
          <w:color w:val="76923C" w:themeColor="accent3" w:themeShade="BF"/>
          <w:sz w:val="24"/>
          <w:szCs w:val="24"/>
          <w:lang w:eastAsia="de-DE"/>
        </w:rPr>
        <w:t>prüfung des Vereins für Jagdteckel e.V. (3304)</w:t>
      </w:r>
    </w:p>
    <w:p w:rsidR="00432D77" w:rsidRDefault="00432D77" w:rsidP="00432D77">
      <w:pPr>
        <w:pStyle w:val="KeinLeerraum"/>
        <w:jc w:val="both"/>
        <w:rPr>
          <w:lang w:eastAsia="de-DE"/>
        </w:rPr>
      </w:pPr>
    </w:p>
    <w:p w:rsidR="00432D77" w:rsidRPr="00244C2F" w:rsidRDefault="00432D77" w:rsidP="00432D77">
      <w:pPr>
        <w:pStyle w:val="KeinLeerraum"/>
        <w:jc w:val="both"/>
        <w:rPr>
          <w:lang w:eastAsia="de-DE"/>
        </w:rPr>
      </w:pPr>
      <w:r>
        <w:rPr>
          <w:lang w:eastAsia="de-DE"/>
        </w:rPr>
        <w:t>der Landesarbeitsgruppe</w:t>
      </w:r>
      <w:r w:rsidR="00225528">
        <w:rPr>
          <w:lang w:eastAsia="de-DE"/>
        </w:rPr>
        <w:t xml:space="preserve">/ </w:t>
      </w:r>
      <w:r>
        <w:rPr>
          <w:lang w:eastAsia="de-DE"/>
        </w:rPr>
        <w:t>der Arbeitsgruppe:</w:t>
      </w:r>
    </w:p>
    <w:p w:rsidR="00432D77" w:rsidRDefault="00432D77" w:rsidP="00244C2F">
      <w:pPr>
        <w:pStyle w:val="KeinLeerraum"/>
        <w:jc w:val="both"/>
        <w:rPr>
          <w:lang w:eastAsia="de-DE"/>
        </w:rPr>
      </w:pPr>
    </w:p>
    <w:p w:rsidR="00CD0A85" w:rsidRPr="00244C2F" w:rsidRDefault="00CD0A85" w:rsidP="00CD0A85">
      <w:pPr>
        <w:pStyle w:val="KeinLeerraum"/>
        <w:jc w:val="both"/>
        <w:rPr>
          <w:lang w:eastAsia="de-DE"/>
        </w:rPr>
      </w:pPr>
      <w:r>
        <w:rPr>
          <w:lang w:eastAsia="de-DE"/>
        </w:rPr>
        <w:t>am</w:t>
      </w:r>
      <w:r w:rsidR="00225528">
        <w:rPr>
          <w:lang w:eastAsia="de-DE"/>
        </w:rPr>
        <w:t xml:space="preserve">/ </w:t>
      </w:r>
      <w:r>
        <w:rPr>
          <w:lang w:eastAsia="de-DE"/>
        </w:rPr>
        <w:t>in:</w:t>
      </w:r>
    </w:p>
    <w:p w:rsidR="00432D77" w:rsidRDefault="00432D77" w:rsidP="00244C2F">
      <w:pPr>
        <w:pStyle w:val="KeinLeerraum"/>
        <w:jc w:val="both"/>
        <w:rPr>
          <w:lang w:eastAsia="de-DE"/>
        </w:rPr>
      </w:pPr>
    </w:p>
    <w:tbl>
      <w:tblPr>
        <w:tblStyle w:val="Tabellenraster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58"/>
      </w:tblGrid>
      <w:tr w:rsidR="00244C2F" w:rsidRPr="00244C2F" w:rsidTr="00244C2F">
        <w:tc>
          <w:tcPr>
            <w:tcW w:w="3652" w:type="dxa"/>
            <w:tcBorders>
              <w:top w:val="nil"/>
              <w:bottom w:val="nil"/>
            </w:tcBorders>
          </w:tcPr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 w:rsidRPr="00244C2F">
              <w:rPr>
                <w:sz w:val="20"/>
                <w:szCs w:val="20"/>
                <w:lang w:eastAsia="de-DE"/>
              </w:rPr>
              <w:t>Name des Anwärters/der Anwärterin</w:t>
            </w:r>
            <w:r>
              <w:rPr>
                <w:sz w:val="20"/>
                <w:szCs w:val="20"/>
                <w:lang w:eastAsia="de-DE"/>
              </w:rPr>
              <w:t>:</w:t>
            </w:r>
          </w:p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58" w:type="dxa"/>
          </w:tcPr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244C2F" w:rsidRPr="00244C2F" w:rsidTr="00244C2F">
        <w:tc>
          <w:tcPr>
            <w:tcW w:w="3652" w:type="dxa"/>
            <w:tcBorders>
              <w:top w:val="nil"/>
              <w:bottom w:val="nil"/>
            </w:tcBorders>
          </w:tcPr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 w:rsidRPr="00244C2F">
              <w:rPr>
                <w:sz w:val="20"/>
                <w:szCs w:val="20"/>
                <w:lang w:eastAsia="de-DE"/>
              </w:rPr>
              <w:t>vollständige Adresse</w:t>
            </w:r>
            <w:r w:rsidR="00225528">
              <w:rPr>
                <w:sz w:val="20"/>
                <w:szCs w:val="20"/>
                <w:lang w:eastAsia="de-DE"/>
              </w:rPr>
              <w:t>/ Tel.</w:t>
            </w:r>
            <w:r>
              <w:rPr>
                <w:sz w:val="20"/>
                <w:szCs w:val="20"/>
                <w:lang w:eastAsia="de-DE"/>
              </w:rPr>
              <w:t>:</w:t>
            </w:r>
          </w:p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58" w:type="dxa"/>
          </w:tcPr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244C2F" w:rsidRPr="00244C2F" w:rsidTr="00244C2F">
        <w:tc>
          <w:tcPr>
            <w:tcW w:w="3652" w:type="dxa"/>
            <w:tcBorders>
              <w:top w:val="nil"/>
              <w:bottom w:val="nil"/>
            </w:tcBorders>
          </w:tcPr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 w:rsidRPr="00244C2F">
              <w:rPr>
                <w:sz w:val="20"/>
                <w:szCs w:val="20"/>
                <w:lang w:eastAsia="de-DE"/>
              </w:rPr>
              <w:t>Richteranwärternummer</w:t>
            </w:r>
            <w:r>
              <w:rPr>
                <w:sz w:val="20"/>
                <w:szCs w:val="20"/>
                <w:lang w:eastAsia="de-DE"/>
              </w:rPr>
              <w:t>:</w:t>
            </w:r>
          </w:p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58" w:type="dxa"/>
          </w:tcPr>
          <w:p w:rsidR="00244C2F" w:rsidRPr="00244C2F" w:rsidRDefault="00244C2F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:rsidR="00244C2F" w:rsidRDefault="00244C2F" w:rsidP="00244C2F">
      <w:pPr>
        <w:pStyle w:val="KeinLeerraum"/>
        <w:jc w:val="both"/>
        <w:rPr>
          <w:lang w:eastAsia="de-DE"/>
        </w:rPr>
      </w:pPr>
    </w:p>
    <w:p w:rsidR="00244C2F" w:rsidRDefault="00244C2F" w:rsidP="00244C2F">
      <w:pPr>
        <w:pStyle w:val="KeinLeerraum"/>
        <w:jc w:val="both"/>
        <w:rPr>
          <w:lang w:eastAsia="de-DE"/>
        </w:rPr>
      </w:pPr>
    </w:p>
    <w:p w:rsidR="00244C2F" w:rsidRPr="00CD0A85" w:rsidRDefault="00244C2F" w:rsidP="00244C2F">
      <w:pPr>
        <w:pStyle w:val="KeinLeerraum"/>
        <w:jc w:val="both"/>
        <w:rPr>
          <w:b/>
          <w:i/>
          <w:color w:val="76923C" w:themeColor="accent3" w:themeShade="BF"/>
          <w:sz w:val="24"/>
          <w:szCs w:val="24"/>
          <w:lang w:eastAsia="de-DE"/>
        </w:rPr>
      </w:pPr>
      <w:r w:rsidRPr="00CD0A85">
        <w:rPr>
          <w:b/>
          <w:i/>
          <w:color w:val="76923C" w:themeColor="accent3" w:themeShade="BF"/>
          <w:sz w:val="24"/>
          <w:szCs w:val="24"/>
          <w:lang w:eastAsia="de-DE"/>
        </w:rPr>
        <w:t>Allgemeines zur Prüfung</w:t>
      </w:r>
    </w:p>
    <w:p w:rsidR="00CD0A85" w:rsidRDefault="00CD0A85" w:rsidP="00244C2F">
      <w:pPr>
        <w:pStyle w:val="KeinLeerraum"/>
        <w:jc w:val="both"/>
        <w:rPr>
          <w:lang w:eastAsia="de-DE"/>
        </w:rPr>
      </w:pPr>
    </w:p>
    <w:tbl>
      <w:tblPr>
        <w:tblStyle w:val="Tabellenraster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58"/>
      </w:tblGrid>
      <w:tr w:rsidR="00B53F4C" w:rsidRPr="00B53F4C" w:rsidTr="00E969B7">
        <w:tc>
          <w:tcPr>
            <w:tcW w:w="3652" w:type="dxa"/>
            <w:tcBorders>
              <w:top w:val="nil"/>
              <w:bottom w:val="nil"/>
            </w:tcBorders>
          </w:tcPr>
          <w:p w:rsidR="00B53F4C" w:rsidRPr="00B53F4C" w:rsidRDefault="00B53F4C" w:rsidP="00B53F4C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 w:rsidRPr="00B53F4C">
              <w:rPr>
                <w:sz w:val="20"/>
                <w:szCs w:val="20"/>
                <w:lang w:eastAsia="de-DE"/>
              </w:rPr>
              <w:t>Prüfungsleiter</w:t>
            </w:r>
          </w:p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58" w:type="dxa"/>
          </w:tcPr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B53F4C" w:rsidRPr="00B53F4C" w:rsidTr="00E969B7">
        <w:tc>
          <w:tcPr>
            <w:tcW w:w="3652" w:type="dxa"/>
            <w:tcBorders>
              <w:top w:val="nil"/>
              <w:bottom w:val="nil"/>
            </w:tcBorders>
          </w:tcPr>
          <w:p w:rsidR="00E969B7" w:rsidRDefault="00B53F4C" w:rsidP="00B53F4C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 w:rsidRPr="00B53F4C">
              <w:rPr>
                <w:sz w:val="20"/>
                <w:szCs w:val="20"/>
                <w:lang w:eastAsia="de-DE"/>
              </w:rPr>
              <w:t xml:space="preserve">Anzahl der gemeldeten Hunde/ </w:t>
            </w:r>
          </w:p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 w:rsidRPr="00B53F4C">
              <w:rPr>
                <w:sz w:val="20"/>
                <w:szCs w:val="20"/>
                <w:lang w:eastAsia="de-DE"/>
              </w:rPr>
              <w:t>Anzahl der Gruppen</w:t>
            </w:r>
          </w:p>
        </w:tc>
        <w:tc>
          <w:tcPr>
            <w:tcW w:w="5558" w:type="dxa"/>
          </w:tcPr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B53F4C" w:rsidRPr="00B53F4C" w:rsidTr="00E969B7">
        <w:tc>
          <w:tcPr>
            <w:tcW w:w="3652" w:type="dxa"/>
            <w:tcBorders>
              <w:top w:val="nil"/>
              <w:bottom w:val="nil"/>
            </w:tcBorders>
          </w:tcPr>
          <w:p w:rsidR="00B53F4C" w:rsidRPr="00B53F4C" w:rsidRDefault="00B53F4C" w:rsidP="00B53F4C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Wetter</w:t>
            </w:r>
          </w:p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58" w:type="dxa"/>
          </w:tcPr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B53F4C" w:rsidRPr="00B53F4C" w:rsidTr="00E969B7">
        <w:tc>
          <w:tcPr>
            <w:tcW w:w="3652" w:type="dxa"/>
            <w:tcBorders>
              <w:top w:val="nil"/>
              <w:bottom w:val="nil"/>
            </w:tcBorders>
          </w:tcPr>
          <w:p w:rsidR="00B53F4C" w:rsidRPr="00B53F4C" w:rsidRDefault="00B53F4C" w:rsidP="00B53F4C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Wildvorkommen</w:t>
            </w:r>
          </w:p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58" w:type="dxa"/>
          </w:tcPr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B53F4C" w:rsidRPr="00B53F4C" w:rsidTr="00E969B7">
        <w:tc>
          <w:tcPr>
            <w:tcW w:w="3652" w:type="dxa"/>
            <w:tcBorders>
              <w:top w:val="nil"/>
              <w:bottom w:val="nil"/>
            </w:tcBorders>
          </w:tcPr>
          <w:p w:rsidR="00B53F4C" w:rsidRPr="00B53F4C" w:rsidRDefault="00B53F4C" w:rsidP="00B53F4C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 w:rsidRPr="00B53F4C">
              <w:rPr>
                <w:sz w:val="20"/>
                <w:szCs w:val="20"/>
                <w:lang w:eastAsia="de-DE"/>
              </w:rPr>
              <w:t>Rich</w:t>
            </w:r>
            <w:r>
              <w:rPr>
                <w:sz w:val="20"/>
                <w:szCs w:val="20"/>
                <w:lang w:eastAsia="de-DE"/>
              </w:rPr>
              <w:t xml:space="preserve">terobmann, Name und </w:t>
            </w:r>
            <w:proofErr w:type="spellStart"/>
            <w:r>
              <w:rPr>
                <w:sz w:val="20"/>
                <w:szCs w:val="20"/>
                <w:lang w:eastAsia="de-DE"/>
              </w:rPr>
              <w:t>Ri</w:t>
            </w:r>
            <w:proofErr w:type="spellEnd"/>
            <w:r>
              <w:rPr>
                <w:sz w:val="20"/>
                <w:szCs w:val="20"/>
                <w:lang w:eastAsia="de-DE"/>
              </w:rPr>
              <w:t>-Nr.</w:t>
            </w:r>
          </w:p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58" w:type="dxa"/>
          </w:tcPr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B53F4C" w:rsidRPr="00B53F4C" w:rsidTr="00E969B7">
        <w:tc>
          <w:tcPr>
            <w:tcW w:w="3652" w:type="dxa"/>
            <w:tcBorders>
              <w:top w:val="nil"/>
              <w:bottom w:val="nil"/>
            </w:tcBorders>
          </w:tcPr>
          <w:p w:rsidR="00B53F4C" w:rsidRPr="00B53F4C" w:rsidRDefault="00B53F4C" w:rsidP="00B53F4C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Mitrichter, Namen und </w:t>
            </w:r>
            <w:proofErr w:type="spellStart"/>
            <w:r>
              <w:rPr>
                <w:sz w:val="20"/>
                <w:szCs w:val="20"/>
                <w:lang w:eastAsia="de-DE"/>
              </w:rPr>
              <w:t>Ri</w:t>
            </w:r>
            <w:proofErr w:type="spellEnd"/>
            <w:r>
              <w:rPr>
                <w:sz w:val="20"/>
                <w:szCs w:val="20"/>
                <w:lang w:eastAsia="de-DE"/>
              </w:rPr>
              <w:t>-Nr.</w:t>
            </w:r>
          </w:p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58" w:type="dxa"/>
          </w:tcPr>
          <w:p w:rsidR="00B53F4C" w:rsidRPr="00B53F4C" w:rsidRDefault="00B53F4C" w:rsidP="00244C2F">
            <w:pPr>
              <w:pStyle w:val="KeinLeerraum"/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:rsidR="00225528" w:rsidRDefault="00225528" w:rsidP="00244C2F">
      <w:pPr>
        <w:pStyle w:val="KeinLeerraum"/>
        <w:jc w:val="both"/>
        <w:rPr>
          <w:lang w:eastAsia="de-DE"/>
        </w:rPr>
      </w:pPr>
    </w:p>
    <w:p w:rsidR="00244C2F" w:rsidRPr="00C72BF4" w:rsidRDefault="00244C2F" w:rsidP="00244C2F">
      <w:pPr>
        <w:pStyle w:val="KeinLeerraum"/>
        <w:jc w:val="both"/>
        <w:rPr>
          <w:b/>
          <w:i/>
          <w:color w:val="76923C" w:themeColor="accent3" w:themeShade="BF"/>
          <w:lang w:eastAsia="de-DE"/>
        </w:rPr>
      </w:pPr>
      <w:r w:rsidRPr="00C72BF4">
        <w:rPr>
          <w:b/>
          <w:i/>
          <w:color w:val="76923C" w:themeColor="accent3" w:themeShade="BF"/>
          <w:lang w:eastAsia="de-DE"/>
        </w:rPr>
        <w:t>Liste der geführten Hunde</w:t>
      </w:r>
    </w:p>
    <w:p w:rsidR="00E969B7" w:rsidRDefault="00E969B7" w:rsidP="00244C2F">
      <w:pPr>
        <w:pStyle w:val="KeinLeerraum"/>
        <w:jc w:val="both"/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920"/>
        <w:gridCol w:w="2744"/>
        <w:gridCol w:w="1246"/>
      </w:tblGrid>
      <w:tr w:rsidR="00225528" w:rsidRPr="00225528" w:rsidTr="00225528">
        <w:tc>
          <w:tcPr>
            <w:tcW w:w="534" w:type="dxa"/>
          </w:tcPr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842" w:type="dxa"/>
          </w:tcPr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Zuchtbuchnummer</w:t>
            </w:r>
          </w:p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Wurfdatum</w:t>
            </w:r>
          </w:p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</w:tcPr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Name des Hundes</w:t>
            </w:r>
          </w:p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</w:p>
        </w:tc>
        <w:tc>
          <w:tcPr>
            <w:tcW w:w="2744" w:type="dxa"/>
          </w:tcPr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Name des/ der Hundefü</w:t>
            </w: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h</w:t>
            </w: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rer/in</w:t>
            </w:r>
          </w:p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</w:p>
        </w:tc>
        <w:tc>
          <w:tcPr>
            <w:tcW w:w="1246" w:type="dxa"/>
          </w:tcPr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bisherige</w:t>
            </w:r>
          </w:p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  <w:r w:rsidRPr="00225528"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  <w:t>Leistungen</w:t>
            </w:r>
          </w:p>
          <w:p w:rsidR="00225528" w:rsidRPr="00225528" w:rsidRDefault="00225528" w:rsidP="00225528">
            <w:pPr>
              <w:pStyle w:val="KeinLeerraum"/>
              <w:rPr>
                <w:b/>
                <w:color w:val="76923C" w:themeColor="accent3" w:themeShade="BF"/>
                <w:sz w:val="20"/>
                <w:szCs w:val="20"/>
                <w:lang w:eastAsia="de-DE"/>
              </w:rPr>
            </w:pPr>
          </w:p>
        </w:tc>
      </w:tr>
      <w:tr w:rsidR="00225528" w:rsidTr="00225528">
        <w:tc>
          <w:tcPr>
            <w:tcW w:w="534" w:type="dxa"/>
          </w:tcPr>
          <w:p w:rsidR="00225528" w:rsidRPr="00225528" w:rsidRDefault="00225528" w:rsidP="00244C2F">
            <w:pPr>
              <w:pStyle w:val="KeinLeerraum"/>
              <w:jc w:val="both"/>
              <w:rPr>
                <w:b/>
                <w:color w:val="76923C" w:themeColor="accent3" w:themeShade="BF"/>
                <w:lang w:eastAsia="de-DE"/>
              </w:rPr>
            </w:pPr>
            <w:r w:rsidRPr="00225528">
              <w:rPr>
                <w:b/>
                <w:color w:val="76923C" w:themeColor="accent3" w:themeShade="BF"/>
                <w:lang w:eastAsia="de-DE"/>
              </w:rPr>
              <w:t>1</w:t>
            </w:r>
          </w:p>
        </w:tc>
        <w:tc>
          <w:tcPr>
            <w:tcW w:w="1842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920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744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1246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</w:tr>
      <w:tr w:rsidR="00225528" w:rsidTr="00225528">
        <w:tc>
          <w:tcPr>
            <w:tcW w:w="534" w:type="dxa"/>
          </w:tcPr>
          <w:p w:rsidR="00225528" w:rsidRPr="00225528" w:rsidRDefault="00225528" w:rsidP="00244C2F">
            <w:pPr>
              <w:pStyle w:val="KeinLeerraum"/>
              <w:jc w:val="both"/>
              <w:rPr>
                <w:b/>
                <w:color w:val="76923C" w:themeColor="accent3" w:themeShade="BF"/>
                <w:lang w:eastAsia="de-DE"/>
              </w:rPr>
            </w:pPr>
            <w:r w:rsidRPr="00225528">
              <w:rPr>
                <w:b/>
                <w:color w:val="76923C" w:themeColor="accent3" w:themeShade="BF"/>
                <w:lang w:eastAsia="de-DE"/>
              </w:rPr>
              <w:t>2</w:t>
            </w:r>
          </w:p>
        </w:tc>
        <w:tc>
          <w:tcPr>
            <w:tcW w:w="1842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920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744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1246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</w:tr>
      <w:tr w:rsidR="00225528" w:rsidTr="00225528">
        <w:tc>
          <w:tcPr>
            <w:tcW w:w="534" w:type="dxa"/>
          </w:tcPr>
          <w:p w:rsidR="00225528" w:rsidRPr="00225528" w:rsidRDefault="00225528" w:rsidP="00244C2F">
            <w:pPr>
              <w:pStyle w:val="KeinLeerraum"/>
              <w:jc w:val="both"/>
              <w:rPr>
                <w:b/>
                <w:color w:val="76923C" w:themeColor="accent3" w:themeShade="BF"/>
                <w:lang w:eastAsia="de-DE"/>
              </w:rPr>
            </w:pPr>
            <w:r w:rsidRPr="00225528">
              <w:rPr>
                <w:b/>
                <w:color w:val="76923C" w:themeColor="accent3" w:themeShade="BF"/>
                <w:lang w:eastAsia="de-DE"/>
              </w:rPr>
              <w:t>3</w:t>
            </w:r>
          </w:p>
        </w:tc>
        <w:tc>
          <w:tcPr>
            <w:tcW w:w="1842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920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744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1246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</w:tr>
      <w:tr w:rsidR="00225528" w:rsidTr="00225528">
        <w:tc>
          <w:tcPr>
            <w:tcW w:w="534" w:type="dxa"/>
          </w:tcPr>
          <w:p w:rsidR="00225528" w:rsidRPr="00225528" w:rsidRDefault="00225528" w:rsidP="00244C2F">
            <w:pPr>
              <w:pStyle w:val="KeinLeerraum"/>
              <w:jc w:val="both"/>
              <w:rPr>
                <w:b/>
                <w:color w:val="76923C" w:themeColor="accent3" w:themeShade="BF"/>
                <w:lang w:eastAsia="de-DE"/>
              </w:rPr>
            </w:pPr>
            <w:r w:rsidRPr="00225528">
              <w:rPr>
                <w:b/>
                <w:color w:val="76923C" w:themeColor="accent3" w:themeShade="BF"/>
                <w:lang w:eastAsia="de-DE"/>
              </w:rPr>
              <w:t>4</w:t>
            </w:r>
          </w:p>
        </w:tc>
        <w:tc>
          <w:tcPr>
            <w:tcW w:w="1842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920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744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1246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</w:tr>
      <w:tr w:rsidR="00225528" w:rsidTr="00225528">
        <w:tc>
          <w:tcPr>
            <w:tcW w:w="534" w:type="dxa"/>
          </w:tcPr>
          <w:p w:rsidR="00225528" w:rsidRPr="00225528" w:rsidRDefault="00225528" w:rsidP="00244C2F">
            <w:pPr>
              <w:pStyle w:val="KeinLeerraum"/>
              <w:jc w:val="both"/>
              <w:rPr>
                <w:b/>
                <w:color w:val="76923C" w:themeColor="accent3" w:themeShade="BF"/>
                <w:lang w:eastAsia="de-DE"/>
              </w:rPr>
            </w:pPr>
            <w:r w:rsidRPr="00225528">
              <w:rPr>
                <w:b/>
                <w:color w:val="76923C" w:themeColor="accent3" w:themeShade="BF"/>
                <w:lang w:eastAsia="de-DE"/>
              </w:rPr>
              <w:t>5</w:t>
            </w:r>
          </w:p>
        </w:tc>
        <w:tc>
          <w:tcPr>
            <w:tcW w:w="1842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920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744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1246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</w:tr>
      <w:tr w:rsidR="00225528" w:rsidTr="00225528">
        <w:tc>
          <w:tcPr>
            <w:tcW w:w="534" w:type="dxa"/>
          </w:tcPr>
          <w:p w:rsidR="00225528" w:rsidRPr="00225528" w:rsidRDefault="00225528" w:rsidP="00244C2F">
            <w:pPr>
              <w:pStyle w:val="KeinLeerraum"/>
              <w:jc w:val="both"/>
              <w:rPr>
                <w:b/>
                <w:color w:val="76923C" w:themeColor="accent3" w:themeShade="BF"/>
                <w:lang w:eastAsia="de-DE"/>
              </w:rPr>
            </w:pPr>
            <w:r w:rsidRPr="00225528">
              <w:rPr>
                <w:b/>
                <w:color w:val="76923C" w:themeColor="accent3" w:themeShade="BF"/>
                <w:lang w:eastAsia="de-DE"/>
              </w:rPr>
              <w:t>6</w:t>
            </w:r>
          </w:p>
        </w:tc>
        <w:tc>
          <w:tcPr>
            <w:tcW w:w="1842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920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2744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  <w:tc>
          <w:tcPr>
            <w:tcW w:w="1246" w:type="dxa"/>
          </w:tcPr>
          <w:p w:rsidR="00225528" w:rsidRDefault="00225528" w:rsidP="00244C2F">
            <w:pPr>
              <w:pStyle w:val="KeinLeerraum"/>
              <w:jc w:val="both"/>
              <w:rPr>
                <w:lang w:eastAsia="de-DE"/>
              </w:rPr>
            </w:pPr>
          </w:p>
        </w:tc>
      </w:tr>
    </w:tbl>
    <w:p w:rsidR="00225528" w:rsidRDefault="00225528" w:rsidP="00244C2F">
      <w:pPr>
        <w:pStyle w:val="KeinLeerraum"/>
        <w:jc w:val="both"/>
        <w:rPr>
          <w:lang w:eastAsia="de-DE"/>
        </w:rPr>
      </w:pPr>
    </w:p>
    <w:p w:rsidR="00225528" w:rsidRDefault="00225528">
      <w:pPr>
        <w:spacing w:after="0" w:line="240" w:lineRule="auto"/>
        <w:rPr>
          <w:lang w:eastAsia="de-DE"/>
        </w:rPr>
      </w:pPr>
      <w:r>
        <w:rPr>
          <w:lang w:eastAsia="de-DE"/>
        </w:rPr>
        <w:br w:type="page"/>
      </w:r>
    </w:p>
    <w:p w:rsidR="00E969B7" w:rsidRPr="00225528" w:rsidRDefault="00225528" w:rsidP="00244C2F">
      <w:pPr>
        <w:pStyle w:val="KeinLeerraum"/>
        <w:jc w:val="both"/>
        <w:rPr>
          <w:b/>
          <w:i/>
          <w:color w:val="76923C" w:themeColor="accent3" w:themeShade="BF"/>
          <w:sz w:val="24"/>
          <w:szCs w:val="24"/>
          <w:lang w:eastAsia="de-DE"/>
        </w:rPr>
      </w:pPr>
      <w:r w:rsidRPr="00225528">
        <w:rPr>
          <w:b/>
          <w:i/>
          <w:color w:val="76923C" w:themeColor="accent3" w:themeShade="BF"/>
          <w:sz w:val="24"/>
          <w:szCs w:val="24"/>
          <w:lang w:eastAsia="de-DE"/>
        </w:rPr>
        <w:t>Prüfung des Hundes</w:t>
      </w:r>
      <w:r>
        <w:rPr>
          <w:b/>
          <w:i/>
          <w:color w:val="76923C" w:themeColor="accent3" w:themeShade="BF"/>
          <w:sz w:val="24"/>
          <w:szCs w:val="24"/>
          <w:lang w:eastAsia="de-DE"/>
        </w:rPr>
        <w:t xml:space="preserve"> </w:t>
      </w:r>
      <w:r w:rsidR="00C72BF4">
        <w:rPr>
          <w:b/>
          <w:i/>
          <w:color w:val="76923C" w:themeColor="accent3" w:themeShade="BF"/>
          <w:sz w:val="24"/>
          <w:szCs w:val="24"/>
          <w:lang w:eastAsia="de-DE"/>
        </w:rPr>
        <w:t>mit der Nr.</w:t>
      </w:r>
    </w:p>
    <w:p w:rsidR="00B53F4C" w:rsidRDefault="00B53F4C" w:rsidP="00244C2F">
      <w:pPr>
        <w:pStyle w:val="KeinLeerraum"/>
        <w:jc w:val="both"/>
        <w:rPr>
          <w:lang w:eastAsia="de-DE"/>
        </w:rPr>
      </w:pPr>
    </w:p>
    <w:p w:rsidR="00B53F4C" w:rsidRPr="00C72BF4" w:rsidRDefault="006352C7" w:rsidP="00244C2F">
      <w:pPr>
        <w:pStyle w:val="KeinLeerraum"/>
        <w:jc w:val="both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 xml:space="preserve">ggf. </w:t>
      </w:r>
      <w:r w:rsidR="00B53F4C" w:rsidRPr="00C72BF4">
        <w:rPr>
          <w:b/>
          <w:i/>
          <w:color w:val="76923C" w:themeColor="accent3" w:themeShade="BF"/>
          <w:lang w:eastAsia="de-DE"/>
        </w:rPr>
        <w:t>Prüfung der Schussfestigkeit</w:t>
      </w:r>
    </w:p>
    <w:p w:rsidR="00B53F4C" w:rsidRDefault="00B53F4C" w:rsidP="00244C2F">
      <w:pPr>
        <w:pStyle w:val="KeinLeerraum"/>
        <w:jc w:val="both"/>
        <w:rPr>
          <w:lang w:eastAsia="de-DE"/>
        </w:rPr>
      </w:pPr>
    </w:p>
    <w:p w:rsidR="00B53F4C" w:rsidRDefault="00B53F4C" w:rsidP="00244C2F">
      <w:pPr>
        <w:pStyle w:val="KeinLeerraum"/>
        <w:jc w:val="both"/>
        <w:rPr>
          <w:lang w:eastAsia="de-DE"/>
        </w:rPr>
      </w:pPr>
    </w:p>
    <w:p w:rsidR="00B53F4C" w:rsidRDefault="00B53F4C" w:rsidP="00244C2F">
      <w:pPr>
        <w:pStyle w:val="KeinLeerraum"/>
        <w:jc w:val="both"/>
        <w:rPr>
          <w:lang w:eastAsia="de-DE"/>
        </w:rPr>
      </w:pPr>
    </w:p>
    <w:p w:rsidR="00B53F4C" w:rsidRDefault="00B53F4C" w:rsidP="00244C2F">
      <w:pPr>
        <w:pStyle w:val="KeinLeerraum"/>
        <w:jc w:val="both"/>
        <w:rPr>
          <w:lang w:eastAsia="de-DE"/>
        </w:rPr>
      </w:pPr>
    </w:p>
    <w:p w:rsidR="00B53F4C" w:rsidRDefault="00B53F4C" w:rsidP="00244C2F">
      <w:pPr>
        <w:pStyle w:val="KeinLeerraum"/>
        <w:jc w:val="both"/>
        <w:rPr>
          <w:lang w:eastAsia="de-DE"/>
        </w:rPr>
      </w:pPr>
    </w:p>
    <w:p w:rsidR="00C72BF4" w:rsidRPr="00354C49" w:rsidRDefault="007D227D" w:rsidP="00432D77">
      <w:pPr>
        <w:pStyle w:val="KeinLeerraum"/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</w:pPr>
      <w:r w:rsidRPr="00354C49"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  <w:t>Prüfung der Schweißarbeit</w:t>
      </w:r>
    </w:p>
    <w:p w:rsidR="00354C49" w:rsidRP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Zu bewerten ist die Zusammenarbeit von Führer und Hund. Ausschlaggebend </w:t>
      </w:r>
      <w:r w:rsidR="006352C7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sind: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die Arbeitsweise des Hundes, Fährtenwille, Ruhe, Sicherheit, Selbständigkeit, die Art und Weise, wie sich der Hund beim Verlust der Fährte durch Bogenschlagen, durch Vor- und Zurückgreifen selbst zu helfen weiß, ob er sich beim Abkommen auf eine Verleitung selbst verbessert oder zurückgenommen werden muss. </w:t>
      </w:r>
    </w:p>
    <w:p w:rsidR="007D227D" w:rsidRDefault="007D227D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7D227D" w:rsidRDefault="007D227D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7D227D" w:rsidRDefault="007D227D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7D227D" w:rsidRDefault="007D227D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352C7" w:rsidRDefault="006352C7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352C7" w:rsidRDefault="006352C7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352C7" w:rsidRDefault="006352C7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352C7" w:rsidRDefault="006352C7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352C7" w:rsidRDefault="006352C7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352C7" w:rsidRDefault="006352C7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352C7" w:rsidRDefault="006352C7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7D227D" w:rsidRDefault="007D227D" w:rsidP="00432D77">
      <w:pPr>
        <w:pStyle w:val="KeinLeerraum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>Prüfung des Gehorsams</w:t>
      </w:r>
      <w:r w:rsidR="00354C49">
        <w:rPr>
          <w:b/>
          <w:i/>
          <w:color w:val="76923C" w:themeColor="accent3" w:themeShade="BF"/>
          <w:lang w:eastAsia="de-DE"/>
        </w:rPr>
        <w:t xml:space="preserve"> (es erfolgt nur die Bewertung mit „bestanden“ oder „nicht bestanden“)</w:t>
      </w:r>
    </w:p>
    <w:p w:rsidR="00354C49" w:rsidRP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allgemeiner Gehorsam </w:t>
      </w: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allgemeine Gehorsam wird anhand des Verhaltens des einzelnen Teckels während der gesamten Prüfung bewertet. </w:t>
      </w: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P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P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Leinenführigkeit </w:t>
      </w: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Der Teckel soll hierbei seinen Führer beobachten und auf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jeden Richtungswechsel des Füh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rers reagieren, er darf weder vorprellen oder sich verheddern. Bleibt der Hundeführer stehen, muss der Teckel ebenfalls Haltmachen. </w:t>
      </w: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P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354C49" w:rsidRP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Verhalten auf dem Stand </w:t>
      </w:r>
    </w:p>
    <w:p w:rsidR="00354C49" w:rsidRPr="00354C49" w:rsidRDefault="00354C49" w:rsidP="00354C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Teckel muss sich während des Standtreibens und der Schussabgabe bei seinem Führer ruhig verhalten und darf sich nicht von seinem Platz entfernen. </w:t>
      </w:r>
    </w:p>
    <w:p w:rsidR="007D227D" w:rsidRPr="00354C49" w:rsidRDefault="007D227D" w:rsidP="00354C49">
      <w:pPr>
        <w:pStyle w:val="KeinLeerraum"/>
        <w:jc w:val="both"/>
        <w:rPr>
          <w:rFonts w:asciiTheme="minorHAnsi" w:hAnsiTheme="minorHAnsi" w:cstheme="minorHAnsi"/>
          <w:b/>
          <w:i/>
          <w:color w:val="76923C" w:themeColor="accent3" w:themeShade="BF"/>
          <w:sz w:val="20"/>
          <w:szCs w:val="20"/>
          <w:lang w:eastAsia="de-DE"/>
        </w:rPr>
      </w:pPr>
    </w:p>
    <w:p w:rsidR="007D227D" w:rsidRDefault="007D227D" w:rsidP="00432D7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>
      <w:pPr>
        <w:spacing w:after="0" w:line="240" w:lineRule="auto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br w:type="page"/>
      </w:r>
    </w:p>
    <w:p w:rsidR="006112C7" w:rsidRPr="00225528" w:rsidRDefault="006112C7" w:rsidP="006112C7">
      <w:pPr>
        <w:pStyle w:val="KeinLeerraum"/>
        <w:jc w:val="both"/>
        <w:rPr>
          <w:b/>
          <w:i/>
          <w:color w:val="76923C" w:themeColor="accent3" w:themeShade="BF"/>
          <w:sz w:val="24"/>
          <w:szCs w:val="24"/>
          <w:lang w:eastAsia="de-DE"/>
        </w:rPr>
      </w:pPr>
      <w:r w:rsidRPr="00225528">
        <w:rPr>
          <w:b/>
          <w:i/>
          <w:color w:val="76923C" w:themeColor="accent3" w:themeShade="BF"/>
          <w:sz w:val="24"/>
          <w:szCs w:val="24"/>
          <w:lang w:eastAsia="de-DE"/>
        </w:rPr>
        <w:t>Prüfung des Hundes</w:t>
      </w:r>
      <w:r>
        <w:rPr>
          <w:b/>
          <w:i/>
          <w:color w:val="76923C" w:themeColor="accent3" w:themeShade="BF"/>
          <w:sz w:val="24"/>
          <w:szCs w:val="24"/>
          <w:lang w:eastAsia="de-DE"/>
        </w:rPr>
        <w:t xml:space="preserve"> mit der Nr.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C72BF4" w:rsidRDefault="006112C7" w:rsidP="006112C7">
      <w:pPr>
        <w:pStyle w:val="KeinLeerraum"/>
        <w:jc w:val="both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 xml:space="preserve">ggf. </w:t>
      </w:r>
      <w:r w:rsidRPr="00C72BF4">
        <w:rPr>
          <w:b/>
          <w:i/>
          <w:color w:val="76923C" w:themeColor="accent3" w:themeShade="BF"/>
          <w:lang w:eastAsia="de-DE"/>
        </w:rPr>
        <w:t>Prüfung der Schussfestigkeit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354C49" w:rsidRDefault="006112C7" w:rsidP="006112C7">
      <w:pPr>
        <w:pStyle w:val="KeinLeerraum"/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</w:pPr>
      <w:r w:rsidRPr="00354C49"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  <w:t>Prüfung der Schweißarbeit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Zu bewerten ist die Zusammenarbeit von Führer und Hund. Ausschlaggebend 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sind: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die Arbeitsweise des Hundes, Fährtenwille, Ruhe, Sicherheit, Selbständigkeit, die Art und Weise, wie sich der Hund beim Verlust der Fährte durch Bogenschlagen, durch Vor- und Zurückgreifen selbst zu helfen weiß, ob er sich beim Abkommen auf eine Verleitung selbst verbessert oder zurückgenommen werden muss. </w:t>
      </w: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>Prüfung des Gehorsams (es erfolgt nur die Bewertung mit „bestanden“ oder „nicht bestanden“)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allgemeiner Gehorsam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allgemeine Gehorsam wird anhand des Verhaltens des einzelnen Teckels während der gesamten Prüfung bewertet.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Leinenführigkeit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Der Teckel soll hierbei seinen Führer beobachten und auf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jeden Richtungswechsel des Füh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rers reagieren, er darf weder vorprellen oder sich verheddern. Bleibt der Hundeführer stehen, muss der Teckel ebenfalls Haltmachen.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Verhalten auf dem Stand 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Teckel muss sich während des Standtreibens und der Schussabgabe bei seinem Führer ruhig verhalten und darf sich nicht von seinem Platz entfernen. </w:t>
      </w:r>
    </w:p>
    <w:p w:rsidR="006112C7" w:rsidRPr="00354C49" w:rsidRDefault="006112C7" w:rsidP="006112C7">
      <w:pPr>
        <w:pStyle w:val="KeinLeerraum"/>
        <w:jc w:val="both"/>
        <w:rPr>
          <w:rFonts w:asciiTheme="minorHAnsi" w:hAnsiTheme="minorHAnsi" w:cstheme="minorHAnsi"/>
          <w:b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>
      <w:pPr>
        <w:spacing w:after="0" w:line="240" w:lineRule="auto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br w:type="page"/>
      </w:r>
    </w:p>
    <w:p w:rsidR="006112C7" w:rsidRPr="00225528" w:rsidRDefault="006112C7" w:rsidP="006112C7">
      <w:pPr>
        <w:pStyle w:val="KeinLeerraum"/>
        <w:jc w:val="both"/>
        <w:rPr>
          <w:b/>
          <w:i/>
          <w:color w:val="76923C" w:themeColor="accent3" w:themeShade="BF"/>
          <w:sz w:val="24"/>
          <w:szCs w:val="24"/>
          <w:lang w:eastAsia="de-DE"/>
        </w:rPr>
      </w:pPr>
      <w:r w:rsidRPr="00225528">
        <w:rPr>
          <w:b/>
          <w:i/>
          <w:color w:val="76923C" w:themeColor="accent3" w:themeShade="BF"/>
          <w:sz w:val="24"/>
          <w:szCs w:val="24"/>
          <w:lang w:eastAsia="de-DE"/>
        </w:rPr>
        <w:t>Prüfung des Hundes</w:t>
      </w:r>
      <w:r>
        <w:rPr>
          <w:b/>
          <w:i/>
          <w:color w:val="76923C" w:themeColor="accent3" w:themeShade="BF"/>
          <w:sz w:val="24"/>
          <w:szCs w:val="24"/>
          <w:lang w:eastAsia="de-DE"/>
        </w:rPr>
        <w:t xml:space="preserve"> mit der Nr.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C72BF4" w:rsidRDefault="006112C7" w:rsidP="006112C7">
      <w:pPr>
        <w:pStyle w:val="KeinLeerraum"/>
        <w:jc w:val="both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 xml:space="preserve">ggf. </w:t>
      </w:r>
      <w:r w:rsidRPr="00C72BF4">
        <w:rPr>
          <w:b/>
          <w:i/>
          <w:color w:val="76923C" w:themeColor="accent3" w:themeShade="BF"/>
          <w:lang w:eastAsia="de-DE"/>
        </w:rPr>
        <w:t>Prüfung der Schussfestigkeit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354C49" w:rsidRDefault="006112C7" w:rsidP="006112C7">
      <w:pPr>
        <w:pStyle w:val="KeinLeerraum"/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</w:pPr>
      <w:r w:rsidRPr="00354C49"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  <w:t>Prüfung der Schweißarbeit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Zu bewerten ist die Zusammenarbeit von Führer und Hund. Ausschlaggebend 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sind: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die Arbeitsweise des Hundes, Fährtenwille, Ruhe, Sicherheit, Selbständigkeit, die Art und Weise, wie sich der Hund beim Verlust der Fährte durch Bogenschlagen, durch Vor- und Zurückgreifen selbst zu helfen weiß, ob er sich beim Abkommen auf eine Verleitung selbst verbessert oder zurückgenommen werden muss. </w:t>
      </w: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>Prüfung des Gehorsams (es erfolgt nur die Bewertung mit „bestanden“ oder „nicht bestanden“)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allgemeiner Gehorsam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allgemeine Gehorsam wird anhand des Verhaltens des einzelnen Teckels während der gesamten Prüfung bewertet.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Leinenführigkeit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Der Teckel soll hierbei seinen Führer beobachten und auf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jeden Richtungswechsel des Füh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rers reagieren, er darf weder vorprellen oder sich verheddern. Bleibt der Hundeführer stehen, muss der Teckel ebenfalls Haltmachen.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Verhalten auf dem Stand 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Teckel muss sich während des Standtreibens und der Schussabgabe bei seinem Führer ruhig verhalten und darf sich nicht von seinem Platz entfernen. </w:t>
      </w:r>
    </w:p>
    <w:p w:rsidR="006112C7" w:rsidRPr="00354C49" w:rsidRDefault="006112C7" w:rsidP="006112C7">
      <w:pPr>
        <w:pStyle w:val="KeinLeerraum"/>
        <w:jc w:val="both"/>
        <w:rPr>
          <w:rFonts w:asciiTheme="minorHAnsi" w:hAnsiTheme="minorHAnsi" w:cstheme="minorHAnsi"/>
          <w:b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>
      <w:pPr>
        <w:spacing w:after="0" w:line="240" w:lineRule="auto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br w:type="page"/>
      </w:r>
    </w:p>
    <w:p w:rsidR="006112C7" w:rsidRPr="00225528" w:rsidRDefault="006112C7" w:rsidP="006112C7">
      <w:pPr>
        <w:pStyle w:val="KeinLeerraum"/>
        <w:jc w:val="both"/>
        <w:rPr>
          <w:b/>
          <w:i/>
          <w:color w:val="76923C" w:themeColor="accent3" w:themeShade="BF"/>
          <w:sz w:val="24"/>
          <w:szCs w:val="24"/>
          <w:lang w:eastAsia="de-DE"/>
        </w:rPr>
      </w:pPr>
      <w:r w:rsidRPr="00225528">
        <w:rPr>
          <w:b/>
          <w:i/>
          <w:color w:val="76923C" w:themeColor="accent3" w:themeShade="BF"/>
          <w:sz w:val="24"/>
          <w:szCs w:val="24"/>
          <w:lang w:eastAsia="de-DE"/>
        </w:rPr>
        <w:t>Prüfung des Hundes</w:t>
      </w:r>
      <w:r>
        <w:rPr>
          <w:b/>
          <w:i/>
          <w:color w:val="76923C" w:themeColor="accent3" w:themeShade="BF"/>
          <w:sz w:val="24"/>
          <w:szCs w:val="24"/>
          <w:lang w:eastAsia="de-DE"/>
        </w:rPr>
        <w:t xml:space="preserve"> mit der Nr.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C72BF4" w:rsidRDefault="006112C7" w:rsidP="006112C7">
      <w:pPr>
        <w:pStyle w:val="KeinLeerraum"/>
        <w:jc w:val="both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 xml:space="preserve">ggf. </w:t>
      </w:r>
      <w:r w:rsidRPr="00C72BF4">
        <w:rPr>
          <w:b/>
          <w:i/>
          <w:color w:val="76923C" w:themeColor="accent3" w:themeShade="BF"/>
          <w:lang w:eastAsia="de-DE"/>
        </w:rPr>
        <w:t>Prüfung der Schussfestigkeit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354C49" w:rsidRDefault="006112C7" w:rsidP="006112C7">
      <w:pPr>
        <w:pStyle w:val="KeinLeerraum"/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</w:pPr>
      <w:r w:rsidRPr="00354C49"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  <w:t>Prüfung der Schweißarbeit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Zu bewerten ist die Zusammenarbeit von Führer und Hund. Ausschlaggebend 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sind: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die Arbeitsweise des Hundes, Fährtenwille, Ruhe, Sicherheit, Selbständigkeit, die Art und Weise, wie sich der Hund beim Verlust der Fährte durch Bogenschlagen, durch Vor- und Zurückgreifen selbst zu helfen weiß, ob er sich beim Abkommen auf eine Verleitung selbst verbessert oder zurückgenommen werden muss. </w:t>
      </w: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>Prüfung des Gehorsams (es erfolgt nur die Bewertung mit „bestanden“ oder „nicht bestanden“)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allgemeiner Gehorsam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allgemeine Gehorsam wird anhand des Verhaltens des einzelnen Teckels während der gesamten Prüfung bewertet.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Leinenführigkeit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Der Teckel soll hierbei seinen Führer beobachten und auf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jeden Richtungswechsel des Füh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rers reagieren, er darf weder vorprellen oder sich verheddern. Bleibt der Hundeführer stehen, muss der Teckel ebenfalls Haltmachen.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Verhalten auf dem Stand 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Teckel muss sich während des Standtreibens und der Schussabgabe bei seinem Führer ruhig verhalten und darf sich nicht von seinem Platz entfernen. </w:t>
      </w:r>
    </w:p>
    <w:p w:rsidR="006112C7" w:rsidRPr="00354C49" w:rsidRDefault="006112C7" w:rsidP="006112C7">
      <w:pPr>
        <w:pStyle w:val="KeinLeerraum"/>
        <w:jc w:val="both"/>
        <w:rPr>
          <w:rFonts w:asciiTheme="minorHAnsi" w:hAnsiTheme="minorHAnsi" w:cstheme="minorHAnsi"/>
          <w:b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>
      <w:pPr>
        <w:spacing w:after="0" w:line="240" w:lineRule="auto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br w:type="page"/>
      </w:r>
    </w:p>
    <w:p w:rsidR="006112C7" w:rsidRPr="00225528" w:rsidRDefault="006112C7" w:rsidP="006112C7">
      <w:pPr>
        <w:pStyle w:val="KeinLeerraum"/>
        <w:jc w:val="both"/>
        <w:rPr>
          <w:b/>
          <w:i/>
          <w:color w:val="76923C" w:themeColor="accent3" w:themeShade="BF"/>
          <w:sz w:val="24"/>
          <w:szCs w:val="24"/>
          <w:lang w:eastAsia="de-DE"/>
        </w:rPr>
      </w:pPr>
      <w:r w:rsidRPr="00225528">
        <w:rPr>
          <w:b/>
          <w:i/>
          <w:color w:val="76923C" w:themeColor="accent3" w:themeShade="BF"/>
          <w:sz w:val="24"/>
          <w:szCs w:val="24"/>
          <w:lang w:eastAsia="de-DE"/>
        </w:rPr>
        <w:t>Prüfung des Hundes</w:t>
      </w:r>
      <w:r>
        <w:rPr>
          <w:b/>
          <w:i/>
          <w:color w:val="76923C" w:themeColor="accent3" w:themeShade="BF"/>
          <w:sz w:val="24"/>
          <w:szCs w:val="24"/>
          <w:lang w:eastAsia="de-DE"/>
        </w:rPr>
        <w:t xml:space="preserve"> mit der Nr.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C72BF4" w:rsidRDefault="006112C7" w:rsidP="006112C7">
      <w:pPr>
        <w:pStyle w:val="KeinLeerraum"/>
        <w:jc w:val="both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 xml:space="preserve">ggf. </w:t>
      </w:r>
      <w:r w:rsidRPr="00C72BF4">
        <w:rPr>
          <w:b/>
          <w:i/>
          <w:color w:val="76923C" w:themeColor="accent3" w:themeShade="BF"/>
          <w:lang w:eastAsia="de-DE"/>
        </w:rPr>
        <w:t>Prüfung der Schussfestigkeit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354C49" w:rsidRDefault="006112C7" w:rsidP="006112C7">
      <w:pPr>
        <w:pStyle w:val="KeinLeerraum"/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</w:pPr>
      <w:r w:rsidRPr="00354C49"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  <w:t>Prüfung der Schweißarbeit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Zu bewerten ist die Zusammenarbeit von Führer und Hund. Ausschlaggebend 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sind: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die Arbeitsweise des Hundes, Fährtenwille, Ruhe, Sicherheit, Selbständigkeit, die Art und Weise, wie sich der Hund beim Verlust der Fährte durch Bogenschlagen, durch Vor- und Zurückgreifen selbst zu helfen weiß, ob er sich beim Abkommen auf eine Verleitung selbst verbessert oder zurückgenommen werden muss. </w:t>
      </w: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>Prüfung des Gehorsams (es erfolgt nur die Bewertung mit „bestanden“ oder „nicht bestanden“)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allgemeiner Gehorsam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allgemeine Gehorsam wird anhand des Verhaltens des einzelnen Teckels während der gesamten Prüfung bewertet.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Leinenführigkeit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Der Teckel soll hierbei seinen Führer beobachten und auf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jeden Richtungswechsel des Füh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rers reagieren, er darf weder vorprellen oder sich verheddern. Bleibt der Hundeführer stehen, muss der Teckel ebenfalls Haltmachen.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Verhalten auf dem Stand 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Teckel muss sich während des Standtreibens und der Schussabgabe bei seinem Führer ruhig verhalten und darf sich nicht von seinem Platz entfernen. </w:t>
      </w:r>
    </w:p>
    <w:p w:rsidR="006112C7" w:rsidRPr="00354C49" w:rsidRDefault="006112C7" w:rsidP="006112C7">
      <w:pPr>
        <w:pStyle w:val="KeinLeerraum"/>
        <w:jc w:val="both"/>
        <w:rPr>
          <w:rFonts w:asciiTheme="minorHAnsi" w:hAnsiTheme="minorHAnsi" w:cstheme="minorHAnsi"/>
          <w:b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>
      <w:pPr>
        <w:spacing w:after="0" w:line="240" w:lineRule="auto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br w:type="page"/>
      </w:r>
    </w:p>
    <w:p w:rsidR="006112C7" w:rsidRPr="00225528" w:rsidRDefault="006112C7" w:rsidP="006112C7">
      <w:pPr>
        <w:pStyle w:val="KeinLeerraum"/>
        <w:jc w:val="both"/>
        <w:rPr>
          <w:b/>
          <w:i/>
          <w:color w:val="76923C" w:themeColor="accent3" w:themeShade="BF"/>
          <w:sz w:val="24"/>
          <w:szCs w:val="24"/>
          <w:lang w:eastAsia="de-DE"/>
        </w:rPr>
      </w:pPr>
      <w:r w:rsidRPr="00225528">
        <w:rPr>
          <w:b/>
          <w:i/>
          <w:color w:val="76923C" w:themeColor="accent3" w:themeShade="BF"/>
          <w:sz w:val="24"/>
          <w:szCs w:val="24"/>
          <w:lang w:eastAsia="de-DE"/>
        </w:rPr>
        <w:t>Prüfung des Hundes</w:t>
      </w:r>
      <w:r>
        <w:rPr>
          <w:b/>
          <w:i/>
          <w:color w:val="76923C" w:themeColor="accent3" w:themeShade="BF"/>
          <w:sz w:val="24"/>
          <w:szCs w:val="24"/>
          <w:lang w:eastAsia="de-DE"/>
        </w:rPr>
        <w:t xml:space="preserve"> mit der Nr.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C72BF4" w:rsidRDefault="006112C7" w:rsidP="006112C7">
      <w:pPr>
        <w:pStyle w:val="KeinLeerraum"/>
        <w:jc w:val="both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 xml:space="preserve">ggf. </w:t>
      </w:r>
      <w:r w:rsidRPr="00C72BF4">
        <w:rPr>
          <w:b/>
          <w:i/>
          <w:color w:val="76923C" w:themeColor="accent3" w:themeShade="BF"/>
          <w:lang w:eastAsia="de-DE"/>
        </w:rPr>
        <w:t>Prüfung der Schussfestigkeit</w:t>
      </w: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Default="006112C7" w:rsidP="006112C7">
      <w:pPr>
        <w:pStyle w:val="KeinLeerraum"/>
        <w:jc w:val="both"/>
        <w:rPr>
          <w:lang w:eastAsia="de-DE"/>
        </w:rPr>
      </w:pPr>
    </w:p>
    <w:p w:rsidR="006112C7" w:rsidRPr="00354C49" w:rsidRDefault="006112C7" w:rsidP="006112C7">
      <w:pPr>
        <w:pStyle w:val="KeinLeerraum"/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</w:pPr>
      <w:r w:rsidRPr="00354C49">
        <w:rPr>
          <w:rFonts w:asciiTheme="minorHAnsi" w:hAnsiTheme="minorHAnsi" w:cstheme="minorHAnsi"/>
          <w:b/>
          <w:i/>
          <w:color w:val="76923C" w:themeColor="accent3" w:themeShade="BF"/>
          <w:lang w:eastAsia="de-DE"/>
        </w:rPr>
        <w:t>Prüfung der Schweißarbeit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Zu bewerten ist die Zusammenarbeit von Führer und Hund. Ausschlaggebend 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sind: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die Arbeitsweise des Hundes, Fährtenwille, Ruhe, Sicherheit, Selbständigkeit, die Art und Weise, wie sich der Hund beim Verlust der Fährte durch Bogenschlagen, durch Vor- und Zurückgreifen selbst zu helfen weiß, ob er sich beim Abkommen auf eine Verleitung selbst verbessert oder zurückgenommen werden muss. </w:t>
      </w: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  <w:r>
        <w:rPr>
          <w:b/>
          <w:i/>
          <w:color w:val="76923C" w:themeColor="accent3" w:themeShade="BF"/>
          <w:lang w:eastAsia="de-DE"/>
        </w:rPr>
        <w:t>Prüfung des Gehorsams (es erfolgt nur die Bewertung mit „bestanden“ oder „nicht bestanden“)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allgemeiner Gehorsam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allgemeine Gehorsam wird anhand des Verhaltens des einzelnen Teckels während der gesamten Prüfung bewertet.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Leinenführigkeit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>Der Teckel soll hierbei seinen Führer beobachten und auf</w:t>
      </w:r>
      <w:r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 jeden Richtungswechsel des Füh</w:t>
      </w: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rers reagieren, er darf weder vorprellen oder sich verheddern. Bleibt der Hundeführer stehen, muss der Teckel ebenfalls Haltmachen. </w:t>
      </w: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b/>
          <w:bCs/>
          <w:i/>
          <w:color w:val="76923C" w:themeColor="accent3" w:themeShade="BF"/>
          <w:sz w:val="20"/>
          <w:szCs w:val="20"/>
          <w:lang w:eastAsia="de-DE"/>
        </w:rPr>
        <w:t xml:space="preserve">Verhalten auf dem Stand </w:t>
      </w:r>
    </w:p>
    <w:p w:rsidR="006112C7" w:rsidRPr="00354C49" w:rsidRDefault="006112C7" w:rsidP="00611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</w:pPr>
      <w:r w:rsidRPr="00354C49">
        <w:rPr>
          <w:rFonts w:asciiTheme="minorHAnsi" w:hAnsiTheme="minorHAnsi" w:cstheme="minorHAnsi"/>
          <w:i/>
          <w:color w:val="76923C" w:themeColor="accent3" w:themeShade="BF"/>
          <w:sz w:val="20"/>
          <w:szCs w:val="20"/>
          <w:lang w:eastAsia="de-DE"/>
        </w:rPr>
        <w:t xml:space="preserve">Der Teckel muss sich während des Standtreibens und der Schussabgabe bei seinem Führer ruhig verhalten und darf sich nicht von seinem Platz entfernen. </w:t>
      </w:r>
    </w:p>
    <w:p w:rsidR="006112C7" w:rsidRPr="00354C49" w:rsidRDefault="006112C7" w:rsidP="006112C7">
      <w:pPr>
        <w:pStyle w:val="KeinLeerraum"/>
        <w:jc w:val="both"/>
        <w:rPr>
          <w:rFonts w:asciiTheme="minorHAnsi" w:hAnsiTheme="minorHAnsi" w:cstheme="minorHAnsi"/>
          <w:b/>
          <w:i/>
          <w:color w:val="76923C" w:themeColor="accent3" w:themeShade="BF"/>
          <w:sz w:val="20"/>
          <w:szCs w:val="20"/>
          <w:lang w:eastAsia="de-DE"/>
        </w:rPr>
      </w:pPr>
    </w:p>
    <w:p w:rsidR="006112C7" w:rsidRDefault="006112C7" w:rsidP="006112C7">
      <w:pPr>
        <w:pStyle w:val="KeinLeerraum"/>
        <w:rPr>
          <w:b/>
          <w:i/>
          <w:color w:val="76923C" w:themeColor="accent3" w:themeShade="BF"/>
          <w:lang w:eastAsia="de-DE"/>
        </w:rPr>
      </w:pPr>
    </w:p>
    <w:p w:rsidR="007D227D" w:rsidRPr="00244C2F" w:rsidRDefault="007D227D" w:rsidP="00432D77">
      <w:pPr>
        <w:pStyle w:val="KeinLeerraum"/>
        <w:rPr>
          <w:rFonts w:asciiTheme="minorHAnsi" w:hAnsiTheme="minorHAnsi" w:cstheme="minorHAnsi"/>
          <w:lang w:eastAsia="de-DE"/>
        </w:rPr>
      </w:pPr>
    </w:p>
    <w:sectPr w:rsidR="007D227D" w:rsidRPr="00244C2F" w:rsidSect="00D1059C">
      <w:pgSz w:w="11906" w:h="16838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E9" w:rsidRDefault="00BB01E9" w:rsidP="00D1059C">
      <w:pPr>
        <w:spacing w:after="0" w:line="240" w:lineRule="auto"/>
      </w:pPr>
      <w:r>
        <w:separator/>
      </w:r>
    </w:p>
  </w:endnote>
  <w:endnote w:type="continuationSeparator" w:id="0">
    <w:p w:rsidR="00BB01E9" w:rsidRDefault="00BB01E9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E9" w:rsidRDefault="00BB01E9" w:rsidP="00D1059C">
      <w:pPr>
        <w:spacing w:after="0" w:line="240" w:lineRule="auto"/>
      </w:pPr>
      <w:r>
        <w:separator/>
      </w:r>
    </w:p>
  </w:footnote>
  <w:footnote w:type="continuationSeparator" w:id="0">
    <w:p w:rsidR="00BB01E9" w:rsidRDefault="00BB01E9" w:rsidP="00D1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2F"/>
    <w:rsid w:val="000A6E10"/>
    <w:rsid w:val="00121843"/>
    <w:rsid w:val="00144893"/>
    <w:rsid w:val="00225528"/>
    <w:rsid w:val="00244C2F"/>
    <w:rsid w:val="002C48D2"/>
    <w:rsid w:val="003073BC"/>
    <w:rsid w:val="00354C49"/>
    <w:rsid w:val="00371146"/>
    <w:rsid w:val="003A332F"/>
    <w:rsid w:val="003E3216"/>
    <w:rsid w:val="00432D77"/>
    <w:rsid w:val="00461EA9"/>
    <w:rsid w:val="00585DB2"/>
    <w:rsid w:val="005B1000"/>
    <w:rsid w:val="006112C7"/>
    <w:rsid w:val="006352C7"/>
    <w:rsid w:val="00786C85"/>
    <w:rsid w:val="007D227D"/>
    <w:rsid w:val="00845E39"/>
    <w:rsid w:val="00895E0E"/>
    <w:rsid w:val="008D50AA"/>
    <w:rsid w:val="008E131F"/>
    <w:rsid w:val="00A94C4B"/>
    <w:rsid w:val="00AE721C"/>
    <w:rsid w:val="00B53F4C"/>
    <w:rsid w:val="00BB01E9"/>
    <w:rsid w:val="00C72BF4"/>
    <w:rsid w:val="00C96276"/>
    <w:rsid w:val="00CD0A85"/>
    <w:rsid w:val="00D1059C"/>
    <w:rsid w:val="00D83F21"/>
    <w:rsid w:val="00E71B6D"/>
    <w:rsid w:val="00E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C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59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10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B6D"/>
    <w:rPr>
      <w:rFonts w:cs="Garamond"/>
      <w:b/>
      <w:bCs/>
      <w:color w:val="3FAD48"/>
      <w:sz w:val="18"/>
      <w:szCs w:val="18"/>
    </w:rPr>
  </w:style>
  <w:style w:type="paragraph" w:styleId="KeinLeerraum">
    <w:name w:val="No Spacing"/>
    <w:uiPriority w:val="1"/>
    <w:qFormat/>
    <w:rsid w:val="00244C2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nreicB002.DST\Lokale%20Einstellungen\Temporary%20Internet%20Files\Content.Outlook\1U0R6283\Briefbogen%20Obfrau%20Gebrau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Obfrau Gebrauch.dot</Template>
  <TotalTime>0</TotalTime>
  <Pages>1</Pages>
  <Words>1085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VJT • Karl-Eckhard Lüdemann • Alte Siedlung 3 • 15306 Seelow</vt:lpstr>
    </vt:vector>
  </TitlesOfParts>
  <Company>Bundesagentur für Arbeit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creator>WeinreicB002</dc:creator>
  <cp:lastModifiedBy>WeinreicB002</cp:lastModifiedBy>
  <cp:revision>5</cp:revision>
  <cp:lastPrinted>2013-10-03T14:42:00Z</cp:lastPrinted>
  <dcterms:created xsi:type="dcterms:W3CDTF">2013-09-06T15:44:00Z</dcterms:created>
  <dcterms:modified xsi:type="dcterms:W3CDTF">2013-10-03T14:42:00Z</dcterms:modified>
</cp:coreProperties>
</file>